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2" w:rsidRPr="00DA32A3" w:rsidRDefault="008649D2" w:rsidP="008649D2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32A3">
        <w:rPr>
          <w:rFonts w:ascii="Times New Roman" w:hAnsi="Times New Roman" w:cs="Times New Roman"/>
          <w:b/>
          <w:sz w:val="26"/>
          <w:szCs w:val="26"/>
        </w:rPr>
        <w:t>MOZIONE</w:t>
      </w:r>
      <w:r w:rsidR="00A71C53" w:rsidRPr="00DA32A3">
        <w:rPr>
          <w:rFonts w:ascii="Times New Roman" w:hAnsi="Times New Roman" w:cs="Times New Roman"/>
          <w:b/>
          <w:sz w:val="26"/>
          <w:szCs w:val="26"/>
        </w:rPr>
        <w:t>/ODG</w:t>
      </w:r>
    </w:p>
    <w:p w:rsidR="007F0B5D" w:rsidRPr="00DA32A3" w:rsidRDefault="007F0B5D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DA32A3">
        <w:rPr>
          <w:rFonts w:ascii="Times New Roman" w:hAnsi="Times New Roman" w:cs="Times New Roman"/>
          <w:sz w:val="26"/>
          <w:szCs w:val="26"/>
        </w:rPr>
        <w:t>VISTO:</w:t>
      </w:r>
    </w:p>
    <w:p w:rsidR="007F0B5D" w:rsidRPr="00DA32A3" w:rsidRDefault="006B4D6A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DA32A3">
        <w:rPr>
          <w:rFonts w:ascii="Times New Roman" w:hAnsi="Times New Roman" w:cs="Times New Roman"/>
          <w:sz w:val="26"/>
          <w:szCs w:val="26"/>
        </w:rPr>
        <w:t xml:space="preserve">l’art.1, comma 2 della </w:t>
      </w:r>
      <w:r w:rsidR="00A71C53" w:rsidRPr="00DA32A3">
        <w:rPr>
          <w:rFonts w:ascii="Times New Roman" w:hAnsi="Times New Roman" w:cs="Times New Roman"/>
          <w:sz w:val="26"/>
          <w:szCs w:val="26"/>
        </w:rPr>
        <w:t xml:space="preserve">Direttiva 94/62/ce del Parlamento europeo e del consiglio </w:t>
      </w:r>
      <w:r w:rsidRPr="00DA32A3">
        <w:rPr>
          <w:rFonts w:ascii="Times New Roman" w:hAnsi="Times New Roman" w:cs="Times New Roman"/>
          <w:sz w:val="26"/>
          <w:szCs w:val="26"/>
        </w:rPr>
        <w:t>del 20 dicembre 1994 sugli imballaggi e i rifiuti di imballaggio stabilisce che il fine della direttiva è di prevedere misure intese, in via prioritaria, a prevenire la produzione di rifiuti di imballaggio a cui si affiancano, come ulteriori principi fondamentali, il reimpiego degli imballaggi, il riciclaggio e le altre forme di recupero dei rifiuti di imballaggio e, quindi, la riduzione dello smaltimento finale di tali rifiuti, conformemente al</w:t>
      </w:r>
      <w:r w:rsidR="007F0B5D" w:rsidRPr="00DA32A3">
        <w:rPr>
          <w:rFonts w:ascii="Times New Roman" w:hAnsi="Times New Roman" w:cs="Times New Roman"/>
          <w:sz w:val="26"/>
          <w:szCs w:val="26"/>
        </w:rPr>
        <w:t>l’</w:t>
      </w:r>
      <w:r w:rsidR="00A74CB5" w:rsidRPr="00DA32A3">
        <w:rPr>
          <w:rFonts w:ascii="Times New Roman" w:hAnsi="Times New Roman" w:cs="Times New Roman"/>
          <w:sz w:val="26"/>
          <w:szCs w:val="26"/>
        </w:rPr>
        <w:t>art.4</w:t>
      </w:r>
      <w:r w:rsidR="007F0B5D" w:rsidRPr="00DA32A3">
        <w:rPr>
          <w:rFonts w:ascii="Times New Roman" w:hAnsi="Times New Roman" w:cs="Times New Roman"/>
          <w:sz w:val="26"/>
          <w:szCs w:val="26"/>
        </w:rPr>
        <w:t xml:space="preserve"> della dir. 2</w:t>
      </w:r>
      <w:r w:rsidR="00A74CB5" w:rsidRPr="00DA32A3">
        <w:rPr>
          <w:rFonts w:ascii="Times New Roman" w:hAnsi="Times New Roman" w:cs="Times New Roman"/>
          <w:sz w:val="26"/>
          <w:szCs w:val="26"/>
        </w:rPr>
        <w:t xml:space="preserve">008/98/CE </w:t>
      </w:r>
      <w:r w:rsidRPr="00DA32A3">
        <w:rPr>
          <w:rFonts w:ascii="Times New Roman" w:hAnsi="Times New Roman" w:cs="Times New Roman"/>
          <w:sz w:val="26"/>
          <w:szCs w:val="26"/>
        </w:rPr>
        <w:t xml:space="preserve">sui rifiuti </w:t>
      </w:r>
      <w:r w:rsidR="00A74CB5" w:rsidRPr="00DA32A3">
        <w:rPr>
          <w:rFonts w:ascii="Times New Roman" w:hAnsi="Times New Roman" w:cs="Times New Roman"/>
          <w:sz w:val="26"/>
          <w:szCs w:val="26"/>
        </w:rPr>
        <w:t>in tema di gerarchia n</w:t>
      </w:r>
      <w:r w:rsidR="007F0B5D" w:rsidRPr="00DA32A3">
        <w:rPr>
          <w:rFonts w:ascii="Times New Roman" w:hAnsi="Times New Roman" w:cs="Times New Roman"/>
          <w:sz w:val="26"/>
          <w:szCs w:val="26"/>
        </w:rPr>
        <w:t>el tratta</w:t>
      </w:r>
      <w:r w:rsidR="00A74CB5" w:rsidRPr="00DA32A3">
        <w:rPr>
          <w:rFonts w:ascii="Times New Roman" w:hAnsi="Times New Roman" w:cs="Times New Roman"/>
          <w:sz w:val="26"/>
          <w:szCs w:val="26"/>
        </w:rPr>
        <w:t>mento dei rifiuti che stabilisce</w:t>
      </w:r>
      <w:r w:rsidR="00A71C53" w:rsidRPr="00DA32A3">
        <w:rPr>
          <w:rFonts w:ascii="Times New Roman" w:hAnsi="Times New Roman" w:cs="Times New Roman"/>
          <w:sz w:val="26"/>
          <w:szCs w:val="26"/>
        </w:rPr>
        <w:t>, anch’essa</w:t>
      </w:r>
      <w:r w:rsidR="005F0B45">
        <w:rPr>
          <w:rFonts w:ascii="Times New Roman" w:hAnsi="Times New Roman" w:cs="Times New Roman"/>
          <w:sz w:val="26"/>
          <w:szCs w:val="26"/>
        </w:rPr>
        <w:t>,</w:t>
      </w:r>
      <w:r w:rsidR="00A71C53" w:rsidRPr="00DA32A3">
        <w:rPr>
          <w:rFonts w:ascii="Times New Roman" w:hAnsi="Times New Roman" w:cs="Times New Roman"/>
          <w:sz w:val="26"/>
          <w:szCs w:val="26"/>
        </w:rPr>
        <w:t xml:space="preserve"> </w:t>
      </w:r>
      <w:r w:rsidR="007F0B5D" w:rsidRPr="00DA32A3">
        <w:rPr>
          <w:rFonts w:ascii="Times New Roman" w:hAnsi="Times New Roman" w:cs="Times New Roman"/>
          <w:sz w:val="26"/>
          <w:szCs w:val="26"/>
        </w:rPr>
        <w:t>che la prevenzione ed il</w:t>
      </w:r>
      <w:r w:rsidR="00B02B7E">
        <w:rPr>
          <w:rFonts w:ascii="Times New Roman" w:hAnsi="Times New Roman" w:cs="Times New Roman"/>
          <w:sz w:val="26"/>
          <w:szCs w:val="26"/>
        </w:rPr>
        <w:t xml:space="preserve"> riutilizzo </w:t>
      </w:r>
      <w:r w:rsidR="007F0B5D" w:rsidRPr="00DA32A3">
        <w:rPr>
          <w:rFonts w:ascii="Times New Roman" w:hAnsi="Times New Roman" w:cs="Times New Roman"/>
          <w:sz w:val="26"/>
          <w:szCs w:val="26"/>
        </w:rPr>
        <w:t xml:space="preserve">sono ritenuti prioritari rispetto alle altre fasi di trattamento del rifiuto </w:t>
      </w:r>
      <w:r w:rsidR="00A74CB5" w:rsidRPr="00DA32A3">
        <w:rPr>
          <w:rFonts w:ascii="Times New Roman" w:hAnsi="Times New Roman" w:cs="Times New Roman"/>
          <w:sz w:val="26"/>
          <w:szCs w:val="26"/>
        </w:rPr>
        <w:t>compreso il riciclo, le altre forme di recupero e lo smaltimento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VISTO:</w:t>
      </w:r>
    </w:p>
    <w:p w:rsid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l'articolo 219-bis del decreto legislativo 3 aprile 2006, n. 152 che prevede che: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"è introdotto, in via sperimentale e su base volontaria del singolo esercente, il sistema del vuoto a rendere su cauzione per gli imballaggi contenenti birra o acqua minerale serviti al pubblico da alberghi e residenze di villeggiatura, ristoranti, bar e altri punti di consumo";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VISTO: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Il decreto 3 luglio 2017, n. 142 "Regolamento recante la sperimentazione di un sistema di restituzione di specifiche tipologie di imballaggi destinati all'uso alimentare, ai sensi dell'articolo 219-bis del decreto legislativo 3 aprile 2006, n. 152"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CONSIDERATO: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Che il suddetto regolamento prevede all'articolo 4, comma 1, che: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"Gli esercenti aderenti alla filiera versano una cauzione contestualmente all'acquisto dell'imballaggio riutilizzabile pieno con diritto di ripetizione della stessa al momento della restituzione dell'imballaggio vuoto";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CONSIDERATO: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 xml:space="preserve">Che lo stesso regolamento prevede, all'articolo 5, quali uniche forme di incentivazione del sistema proposto, la concessione agli operatori coinvolti del patrocinio del Ministero dell'Ambiente e di un attestato di benemerenza, oltre all'iscrizione in un apposito registro. Risultano invece assenti incentivi di tipo economico </w:t>
      </w:r>
      <w:r w:rsidR="00BA5AF0">
        <w:rPr>
          <w:rFonts w:ascii="Times New Roman" w:hAnsi="Times New Roman" w:cs="Times New Roman"/>
          <w:sz w:val="26"/>
          <w:szCs w:val="26"/>
        </w:rPr>
        <w:t xml:space="preserve">o altra facilitazione </w:t>
      </w:r>
      <w:r w:rsidRPr="008649D2">
        <w:rPr>
          <w:rFonts w:ascii="Times New Roman" w:hAnsi="Times New Roman" w:cs="Times New Roman"/>
          <w:sz w:val="26"/>
          <w:szCs w:val="26"/>
        </w:rPr>
        <w:t>nei confronti degli operatori coinvolti dalla sperimentazione;</w:t>
      </w:r>
    </w:p>
    <w:p w:rsidR="00DA32A3" w:rsidRDefault="00DA32A3" w:rsidP="00864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32A3" w:rsidRDefault="00DA32A3" w:rsidP="00864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lastRenderedPageBreak/>
        <w:t>CONSIDERATO:</w:t>
      </w:r>
    </w:p>
    <w:p w:rsidR="005067CF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 xml:space="preserve">Che le forme </w:t>
      </w:r>
      <w:r w:rsidR="00640513">
        <w:rPr>
          <w:rFonts w:ascii="Times New Roman" w:hAnsi="Times New Roman" w:cs="Times New Roman"/>
          <w:sz w:val="26"/>
          <w:szCs w:val="26"/>
        </w:rPr>
        <w:t xml:space="preserve">di incentivazione </w:t>
      </w:r>
      <w:r w:rsidR="004638E8">
        <w:rPr>
          <w:rFonts w:ascii="Times New Roman" w:hAnsi="Times New Roman" w:cs="Times New Roman"/>
          <w:sz w:val="26"/>
          <w:szCs w:val="26"/>
        </w:rPr>
        <w:t xml:space="preserve">contenute </w:t>
      </w:r>
      <w:r w:rsidRPr="008649D2">
        <w:rPr>
          <w:rFonts w:ascii="Times New Roman" w:hAnsi="Times New Roman" w:cs="Times New Roman"/>
          <w:sz w:val="26"/>
          <w:szCs w:val="26"/>
        </w:rPr>
        <w:t xml:space="preserve">nell'articolo 5 del regolamento ministeriale </w:t>
      </w:r>
      <w:r w:rsidR="007F0B5D" w:rsidRPr="00DA32A3">
        <w:rPr>
          <w:rFonts w:ascii="Times New Roman" w:hAnsi="Times New Roman" w:cs="Times New Roman"/>
          <w:sz w:val="26"/>
          <w:szCs w:val="26"/>
        </w:rPr>
        <w:t xml:space="preserve">potrebbero non risultare sufficientemente incoraggianti </w:t>
      </w:r>
      <w:r w:rsidR="00EC0E2F" w:rsidRPr="00DA32A3">
        <w:rPr>
          <w:rFonts w:ascii="Times New Roman" w:hAnsi="Times New Roman" w:cs="Times New Roman"/>
          <w:sz w:val="26"/>
          <w:szCs w:val="26"/>
        </w:rPr>
        <w:t>rispetto al</w:t>
      </w:r>
      <w:r w:rsidR="007F0B5D" w:rsidRPr="00DA32A3">
        <w:rPr>
          <w:rFonts w:ascii="Times New Roman" w:hAnsi="Times New Roman" w:cs="Times New Roman"/>
          <w:sz w:val="26"/>
          <w:szCs w:val="26"/>
        </w:rPr>
        <w:t>l’adozione del sistema del vuoto a rendere</w:t>
      </w:r>
      <w:r w:rsidR="007F0B5D">
        <w:rPr>
          <w:rFonts w:ascii="Times New Roman" w:hAnsi="Times New Roman" w:cs="Times New Roman"/>
          <w:sz w:val="26"/>
          <w:szCs w:val="26"/>
        </w:rPr>
        <w:t xml:space="preserve"> </w:t>
      </w:r>
      <w:r w:rsidR="005067CF">
        <w:rPr>
          <w:rFonts w:ascii="Times New Roman" w:hAnsi="Times New Roman" w:cs="Times New Roman"/>
          <w:sz w:val="26"/>
          <w:szCs w:val="26"/>
        </w:rPr>
        <w:t xml:space="preserve">qualora non accompagnate anche da incentivi di carattere economico o </w:t>
      </w:r>
      <w:r w:rsidR="004638E8">
        <w:rPr>
          <w:rFonts w:ascii="Times New Roman" w:hAnsi="Times New Roman" w:cs="Times New Roman"/>
          <w:sz w:val="26"/>
          <w:szCs w:val="26"/>
        </w:rPr>
        <w:t xml:space="preserve">di altro tipo. </w:t>
      </w:r>
    </w:p>
    <w:p w:rsidR="008649D2" w:rsidRPr="008649D2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>CONSIDERATO:</w:t>
      </w:r>
    </w:p>
    <w:p w:rsidR="008649D2" w:rsidRPr="00523780" w:rsidRDefault="008649D2" w:rsidP="008649D2">
      <w:pPr>
        <w:jc w:val="both"/>
        <w:rPr>
          <w:rFonts w:ascii="Times New Roman" w:hAnsi="Times New Roman" w:cs="Times New Roman"/>
          <w:sz w:val="26"/>
          <w:szCs w:val="26"/>
        </w:rPr>
      </w:pPr>
      <w:r w:rsidRPr="00523780">
        <w:rPr>
          <w:rFonts w:ascii="Times New Roman" w:hAnsi="Times New Roman" w:cs="Times New Roman"/>
          <w:sz w:val="26"/>
          <w:szCs w:val="26"/>
        </w:rPr>
        <w:t xml:space="preserve">Che il Consiglio Comunale, in un'ottica di gestione virtuosa del ciclo dei rifiuti, riconosce quale azione fondamentale la riduzione </w:t>
      </w:r>
      <w:r w:rsidR="007F0B5D" w:rsidRPr="00523780">
        <w:rPr>
          <w:rFonts w:ascii="Times New Roman" w:hAnsi="Times New Roman" w:cs="Times New Roman"/>
          <w:sz w:val="26"/>
          <w:szCs w:val="26"/>
        </w:rPr>
        <w:t xml:space="preserve">ed il riutilizzo </w:t>
      </w:r>
      <w:r w:rsidR="00BC398F">
        <w:rPr>
          <w:rFonts w:ascii="Times New Roman" w:hAnsi="Times New Roman" w:cs="Times New Roman"/>
          <w:sz w:val="26"/>
          <w:szCs w:val="26"/>
        </w:rPr>
        <w:t>dei rifiuti di</w:t>
      </w:r>
      <w:r w:rsidR="00224873" w:rsidRPr="00523780">
        <w:rPr>
          <w:rFonts w:ascii="Times New Roman" w:hAnsi="Times New Roman" w:cs="Times New Roman"/>
          <w:sz w:val="26"/>
          <w:szCs w:val="26"/>
        </w:rPr>
        <w:t xml:space="preserve"> </w:t>
      </w:r>
      <w:r w:rsidRPr="00523780">
        <w:rPr>
          <w:rFonts w:ascii="Times New Roman" w:hAnsi="Times New Roman" w:cs="Times New Roman"/>
          <w:sz w:val="26"/>
          <w:szCs w:val="26"/>
        </w:rPr>
        <w:t>imballaggi</w:t>
      </w:r>
      <w:r w:rsidR="00EC0E2F" w:rsidRPr="00523780">
        <w:rPr>
          <w:rFonts w:ascii="Times New Roman" w:hAnsi="Times New Roman" w:cs="Times New Roman"/>
          <w:sz w:val="26"/>
          <w:szCs w:val="26"/>
        </w:rPr>
        <w:t>o</w:t>
      </w:r>
      <w:r w:rsidRPr="00523780">
        <w:rPr>
          <w:rFonts w:ascii="Times New Roman" w:hAnsi="Times New Roman" w:cs="Times New Roman"/>
          <w:sz w:val="26"/>
          <w:szCs w:val="26"/>
        </w:rPr>
        <w:t xml:space="preserve">, e che </w:t>
      </w:r>
      <w:r w:rsidR="00EC0E2F" w:rsidRPr="00523780">
        <w:rPr>
          <w:rFonts w:ascii="Times New Roman" w:hAnsi="Times New Roman" w:cs="Times New Roman"/>
          <w:sz w:val="26"/>
          <w:szCs w:val="26"/>
        </w:rPr>
        <w:t xml:space="preserve">questi risultati possano essere conseguiti </w:t>
      </w:r>
      <w:r w:rsidRPr="00523780">
        <w:rPr>
          <w:rFonts w:ascii="Times New Roman" w:hAnsi="Times New Roman" w:cs="Times New Roman"/>
          <w:sz w:val="26"/>
          <w:szCs w:val="26"/>
        </w:rPr>
        <w:t>con successo attraverso il</w:t>
      </w:r>
      <w:r w:rsidR="00EC0E2F" w:rsidRPr="00523780">
        <w:rPr>
          <w:rFonts w:ascii="Times New Roman" w:hAnsi="Times New Roman" w:cs="Times New Roman"/>
          <w:sz w:val="26"/>
          <w:szCs w:val="26"/>
        </w:rPr>
        <w:t xml:space="preserve"> sistema del vuoto a rendere e la contestuale adozione d</w:t>
      </w:r>
      <w:r w:rsidR="00842F19" w:rsidRPr="00523780">
        <w:rPr>
          <w:rFonts w:ascii="Times New Roman" w:hAnsi="Times New Roman" w:cs="Times New Roman"/>
          <w:sz w:val="26"/>
          <w:szCs w:val="26"/>
        </w:rPr>
        <w:t>ei predetti</w:t>
      </w:r>
      <w:r w:rsidR="00EC0E2F" w:rsidRPr="00523780">
        <w:rPr>
          <w:rFonts w:ascii="Times New Roman" w:hAnsi="Times New Roman" w:cs="Times New Roman"/>
          <w:sz w:val="26"/>
          <w:szCs w:val="26"/>
        </w:rPr>
        <w:t xml:space="preserve"> </w:t>
      </w:r>
      <w:r w:rsidRPr="00523780">
        <w:rPr>
          <w:rFonts w:ascii="Times New Roman" w:hAnsi="Times New Roman" w:cs="Times New Roman"/>
          <w:sz w:val="26"/>
          <w:szCs w:val="26"/>
        </w:rPr>
        <w:t xml:space="preserve">opportuni incentivi economici </w:t>
      </w:r>
      <w:r w:rsidR="00842F19" w:rsidRPr="00523780">
        <w:rPr>
          <w:rFonts w:ascii="Times New Roman" w:hAnsi="Times New Roman" w:cs="Times New Roman"/>
          <w:sz w:val="26"/>
          <w:szCs w:val="26"/>
        </w:rPr>
        <w:t xml:space="preserve">o di altra natura </w:t>
      </w:r>
      <w:r w:rsidRPr="00523780">
        <w:rPr>
          <w:rFonts w:ascii="Times New Roman" w:hAnsi="Times New Roman" w:cs="Times New Roman"/>
          <w:sz w:val="26"/>
          <w:szCs w:val="26"/>
        </w:rPr>
        <w:t xml:space="preserve">nei confronti degli operatori </w:t>
      </w:r>
      <w:r w:rsidR="00224873" w:rsidRPr="00523780">
        <w:rPr>
          <w:rFonts w:ascii="Times New Roman" w:hAnsi="Times New Roman" w:cs="Times New Roman"/>
          <w:sz w:val="26"/>
          <w:szCs w:val="26"/>
        </w:rPr>
        <w:t xml:space="preserve">aderenti quale giusto riconoscimento per l’adozione di tale pratica virtuosa </w:t>
      </w:r>
      <w:r w:rsidR="0063632C" w:rsidRPr="00523780">
        <w:rPr>
          <w:rFonts w:ascii="Times New Roman" w:hAnsi="Times New Roman" w:cs="Times New Roman"/>
          <w:sz w:val="26"/>
          <w:szCs w:val="26"/>
        </w:rPr>
        <w:t>e che tale sperimentazione registri una ampia adesione al fine d</w:t>
      </w:r>
      <w:r w:rsidR="00EE788B">
        <w:rPr>
          <w:rFonts w:ascii="Times New Roman" w:hAnsi="Times New Roman" w:cs="Times New Roman"/>
          <w:sz w:val="26"/>
          <w:szCs w:val="26"/>
        </w:rPr>
        <w:t>i garantirne l’esito favorevole.</w:t>
      </w:r>
    </w:p>
    <w:p w:rsidR="00165D11" w:rsidRPr="00165D11" w:rsidRDefault="00165D11" w:rsidP="008649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D11">
        <w:rPr>
          <w:rFonts w:ascii="Times New Roman" w:hAnsi="Times New Roman" w:cs="Times New Roman"/>
          <w:b/>
          <w:sz w:val="26"/>
          <w:szCs w:val="26"/>
        </w:rPr>
        <w:t xml:space="preserve">IMPEGNA IL SINDACO E LA GIUNTA </w:t>
      </w:r>
    </w:p>
    <w:p w:rsidR="004638E8" w:rsidRDefault="008649D2" w:rsidP="008649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9D2">
        <w:rPr>
          <w:rFonts w:ascii="Times New Roman" w:hAnsi="Times New Roman" w:cs="Times New Roman"/>
          <w:sz w:val="26"/>
          <w:szCs w:val="26"/>
        </w:rPr>
        <w:t xml:space="preserve">ad approvare, </w:t>
      </w:r>
      <w:r w:rsidR="00630EE5" w:rsidRPr="004638E8">
        <w:rPr>
          <w:rFonts w:ascii="Times New Roman" w:hAnsi="Times New Roman" w:cs="Times New Roman"/>
          <w:i/>
          <w:sz w:val="26"/>
          <w:szCs w:val="26"/>
        </w:rPr>
        <w:t>[…</w:t>
      </w:r>
      <w:r w:rsidRPr="004638E8">
        <w:rPr>
          <w:rFonts w:ascii="Times New Roman" w:hAnsi="Times New Roman" w:cs="Times New Roman"/>
          <w:i/>
          <w:sz w:val="26"/>
          <w:szCs w:val="26"/>
        </w:rPr>
        <w:t>congiuntamente all’esame ed approvazione dei documenti di programmazione economico-finanziaria del’Ente per il triennio 2018-2020</w:t>
      </w:r>
      <w:r w:rsidR="00630EE5">
        <w:rPr>
          <w:rFonts w:ascii="Times New Roman" w:hAnsi="Times New Roman" w:cs="Times New Roman"/>
          <w:sz w:val="26"/>
          <w:szCs w:val="26"/>
        </w:rPr>
        <w:t>]</w:t>
      </w:r>
      <w:r w:rsidRPr="00087060">
        <w:rPr>
          <w:rFonts w:ascii="Times New Roman" w:hAnsi="Times New Roman" w:cs="Times New Roman"/>
          <w:sz w:val="26"/>
          <w:szCs w:val="26"/>
        </w:rPr>
        <w:t>,</w:t>
      </w:r>
      <w:r w:rsidRPr="008649D2">
        <w:rPr>
          <w:rFonts w:ascii="Times New Roman" w:hAnsi="Times New Roman" w:cs="Times New Roman"/>
          <w:sz w:val="26"/>
          <w:szCs w:val="26"/>
        </w:rPr>
        <w:t xml:space="preserve"> </w:t>
      </w:r>
      <w:r w:rsidR="004638E8" w:rsidRPr="00DA32A3">
        <w:rPr>
          <w:rFonts w:ascii="Times New Roman" w:hAnsi="Times New Roman" w:cs="Times New Roman"/>
          <w:sz w:val="26"/>
          <w:szCs w:val="26"/>
        </w:rPr>
        <w:t xml:space="preserve">forme di incentivo </w:t>
      </w:r>
      <w:r w:rsidR="00356AB4" w:rsidRPr="00DA32A3">
        <w:rPr>
          <w:rFonts w:ascii="Times New Roman" w:hAnsi="Times New Roman" w:cs="Times New Roman"/>
          <w:sz w:val="26"/>
          <w:szCs w:val="26"/>
        </w:rPr>
        <w:t>economico</w:t>
      </w:r>
      <w:r w:rsidR="00BE4B98" w:rsidRPr="00DA32A3">
        <w:rPr>
          <w:rFonts w:ascii="Times New Roman" w:hAnsi="Times New Roman" w:cs="Times New Roman"/>
          <w:sz w:val="26"/>
          <w:szCs w:val="26"/>
        </w:rPr>
        <w:t>,</w:t>
      </w:r>
      <w:r w:rsidR="00356AB4" w:rsidRPr="00DA32A3">
        <w:rPr>
          <w:rFonts w:ascii="Times New Roman" w:hAnsi="Times New Roman" w:cs="Times New Roman"/>
          <w:sz w:val="26"/>
          <w:szCs w:val="26"/>
        </w:rPr>
        <w:t xml:space="preserve"> quali la riduzione della </w:t>
      </w:r>
      <w:r w:rsidR="00523780" w:rsidRPr="00523780">
        <w:rPr>
          <w:rFonts w:ascii="Times New Roman" w:hAnsi="Times New Roman" w:cs="Times New Roman"/>
          <w:sz w:val="26"/>
          <w:szCs w:val="26"/>
        </w:rPr>
        <w:t xml:space="preserve">tassa sui rifiuti </w:t>
      </w:r>
      <w:proofErr w:type="spellStart"/>
      <w:r w:rsidR="00523780" w:rsidRPr="00523780">
        <w:rPr>
          <w:rFonts w:ascii="Times New Roman" w:hAnsi="Times New Roman" w:cs="Times New Roman"/>
          <w:sz w:val="26"/>
          <w:szCs w:val="26"/>
        </w:rPr>
        <w:t>Ta.Ri</w:t>
      </w:r>
      <w:proofErr w:type="spellEnd"/>
      <w:r w:rsidR="00523780" w:rsidRPr="00523780">
        <w:rPr>
          <w:rFonts w:ascii="Times New Roman" w:hAnsi="Times New Roman" w:cs="Times New Roman"/>
          <w:sz w:val="26"/>
          <w:szCs w:val="26"/>
        </w:rPr>
        <w:t>.</w:t>
      </w:r>
      <w:r w:rsidR="00BE4B98">
        <w:rPr>
          <w:rFonts w:ascii="Times New Roman" w:hAnsi="Times New Roman" w:cs="Times New Roman"/>
          <w:b/>
          <w:sz w:val="26"/>
          <w:szCs w:val="26"/>
        </w:rPr>
        <w:t>,</w:t>
      </w:r>
      <w:r w:rsidR="00356A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E65">
        <w:rPr>
          <w:rFonts w:ascii="Times New Roman" w:hAnsi="Times New Roman" w:cs="Times New Roman"/>
          <w:sz w:val="26"/>
          <w:szCs w:val="26"/>
        </w:rPr>
        <w:t xml:space="preserve">per gli esercenti, nonché per i produttori e distributori, </w:t>
      </w:r>
      <w:r w:rsidR="00356AB4" w:rsidRPr="008649D2">
        <w:rPr>
          <w:rFonts w:ascii="Times New Roman" w:hAnsi="Times New Roman" w:cs="Times New Roman"/>
          <w:sz w:val="26"/>
          <w:szCs w:val="26"/>
        </w:rPr>
        <w:t xml:space="preserve">che aderiranno alla sperimentazione di cui al </w:t>
      </w:r>
      <w:r w:rsidR="00356AB4">
        <w:rPr>
          <w:rFonts w:ascii="Times New Roman" w:hAnsi="Times New Roman" w:cs="Times New Roman"/>
          <w:sz w:val="26"/>
          <w:szCs w:val="26"/>
        </w:rPr>
        <w:t xml:space="preserve">predetto </w:t>
      </w:r>
      <w:r w:rsidR="00356AB4" w:rsidRPr="008649D2">
        <w:rPr>
          <w:rFonts w:ascii="Times New Roman" w:hAnsi="Times New Roman" w:cs="Times New Roman"/>
          <w:sz w:val="26"/>
          <w:szCs w:val="26"/>
        </w:rPr>
        <w:t>"Regolamento recante la sperimentazione di un sistema di restituzione di specifiche tipologie di imballaggi destinati all'uso alimentare</w:t>
      </w:r>
      <w:r w:rsidR="008B4E65">
        <w:rPr>
          <w:rFonts w:ascii="Times New Roman" w:hAnsi="Times New Roman" w:cs="Times New Roman"/>
          <w:sz w:val="26"/>
          <w:szCs w:val="26"/>
        </w:rPr>
        <w:t>..”</w:t>
      </w:r>
      <w:r w:rsidR="00356AB4" w:rsidRPr="008649D2">
        <w:rPr>
          <w:rFonts w:ascii="Times New Roman" w:hAnsi="Times New Roman" w:cs="Times New Roman"/>
          <w:sz w:val="26"/>
          <w:szCs w:val="26"/>
        </w:rPr>
        <w:t xml:space="preserve"> </w:t>
      </w:r>
      <w:r w:rsidR="00356AB4">
        <w:rPr>
          <w:rFonts w:ascii="Times New Roman" w:hAnsi="Times New Roman" w:cs="Times New Roman"/>
          <w:sz w:val="26"/>
          <w:szCs w:val="26"/>
        </w:rPr>
        <w:t>o</w:t>
      </w:r>
      <w:r w:rsidR="009C001C">
        <w:rPr>
          <w:rFonts w:ascii="Times New Roman" w:hAnsi="Times New Roman" w:cs="Times New Roman"/>
          <w:sz w:val="26"/>
          <w:szCs w:val="26"/>
        </w:rPr>
        <w:t xml:space="preserve">ppure </w:t>
      </w:r>
      <w:r w:rsidR="00356AB4">
        <w:rPr>
          <w:rFonts w:ascii="Times New Roman" w:hAnsi="Times New Roman" w:cs="Times New Roman"/>
          <w:sz w:val="26"/>
          <w:szCs w:val="26"/>
        </w:rPr>
        <w:t>altr</w:t>
      </w:r>
      <w:r w:rsidR="00BE4B98">
        <w:rPr>
          <w:rFonts w:ascii="Times New Roman" w:hAnsi="Times New Roman" w:cs="Times New Roman"/>
          <w:sz w:val="26"/>
          <w:szCs w:val="26"/>
        </w:rPr>
        <w:t>e</w:t>
      </w:r>
      <w:r w:rsidR="00356AB4">
        <w:rPr>
          <w:rFonts w:ascii="Times New Roman" w:hAnsi="Times New Roman" w:cs="Times New Roman"/>
          <w:sz w:val="26"/>
          <w:szCs w:val="26"/>
        </w:rPr>
        <w:t xml:space="preserve"> </w:t>
      </w:r>
      <w:r w:rsidR="008B4E65">
        <w:rPr>
          <w:rFonts w:ascii="Times New Roman" w:hAnsi="Times New Roman" w:cs="Times New Roman"/>
          <w:sz w:val="26"/>
          <w:szCs w:val="26"/>
        </w:rPr>
        <w:t xml:space="preserve">forme di </w:t>
      </w:r>
      <w:r w:rsidR="00356AB4">
        <w:rPr>
          <w:rFonts w:ascii="Times New Roman" w:hAnsi="Times New Roman" w:cs="Times New Roman"/>
          <w:sz w:val="26"/>
          <w:szCs w:val="26"/>
        </w:rPr>
        <w:t>agevolazion</w:t>
      </w:r>
      <w:r w:rsidR="008B4E65">
        <w:rPr>
          <w:rFonts w:ascii="Times New Roman" w:hAnsi="Times New Roman" w:cs="Times New Roman"/>
          <w:sz w:val="26"/>
          <w:szCs w:val="26"/>
        </w:rPr>
        <w:t>e.</w:t>
      </w:r>
    </w:p>
    <w:p w:rsidR="008649D2" w:rsidRDefault="00864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2153" w:rsidRDefault="0089215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92153" w:rsidSect="001F5ED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08" w:rsidRDefault="00D01008" w:rsidP="00F64069">
      <w:pPr>
        <w:spacing w:after="0" w:line="240" w:lineRule="auto"/>
      </w:pPr>
      <w:r>
        <w:separator/>
      </w:r>
    </w:p>
  </w:endnote>
  <w:endnote w:type="continuationSeparator" w:id="0">
    <w:p w:rsidR="00D01008" w:rsidRDefault="00D01008" w:rsidP="00F6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231"/>
      <w:docPartObj>
        <w:docPartGallery w:val="Page Numbers (Bottom of Page)"/>
        <w:docPartUnique/>
      </w:docPartObj>
    </w:sdtPr>
    <w:sdtEndPr/>
    <w:sdtContent>
      <w:p w:rsidR="00F64069" w:rsidRDefault="0066654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069" w:rsidRDefault="00F640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08" w:rsidRDefault="00D01008" w:rsidP="00F64069">
      <w:pPr>
        <w:spacing w:after="0" w:line="240" w:lineRule="auto"/>
      </w:pPr>
      <w:r>
        <w:separator/>
      </w:r>
    </w:p>
  </w:footnote>
  <w:footnote w:type="continuationSeparator" w:id="0">
    <w:p w:rsidR="00D01008" w:rsidRDefault="00D01008" w:rsidP="00F6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2"/>
    <w:rsid w:val="00087060"/>
    <w:rsid w:val="000D041A"/>
    <w:rsid w:val="00165D11"/>
    <w:rsid w:val="001E30B7"/>
    <w:rsid w:val="001F5ED1"/>
    <w:rsid w:val="00224873"/>
    <w:rsid w:val="00251669"/>
    <w:rsid w:val="0025669B"/>
    <w:rsid w:val="002E2915"/>
    <w:rsid w:val="00302971"/>
    <w:rsid w:val="00323F78"/>
    <w:rsid w:val="00356AB4"/>
    <w:rsid w:val="00394BEB"/>
    <w:rsid w:val="004638E8"/>
    <w:rsid w:val="005067CF"/>
    <w:rsid w:val="00523780"/>
    <w:rsid w:val="005F0B45"/>
    <w:rsid w:val="00630EE5"/>
    <w:rsid w:val="0063632C"/>
    <w:rsid w:val="00640513"/>
    <w:rsid w:val="00666543"/>
    <w:rsid w:val="006B4D6A"/>
    <w:rsid w:val="007F0B5D"/>
    <w:rsid w:val="00842F19"/>
    <w:rsid w:val="008649D2"/>
    <w:rsid w:val="00892153"/>
    <w:rsid w:val="008B4E65"/>
    <w:rsid w:val="009019E1"/>
    <w:rsid w:val="00977D32"/>
    <w:rsid w:val="009C001C"/>
    <w:rsid w:val="00A71C53"/>
    <w:rsid w:val="00A74CB5"/>
    <w:rsid w:val="00B02B7E"/>
    <w:rsid w:val="00B43D37"/>
    <w:rsid w:val="00B74B6A"/>
    <w:rsid w:val="00BA5AF0"/>
    <w:rsid w:val="00BC398F"/>
    <w:rsid w:val="00BE4B98"/>
    <w:rsid w:val="00C3519E"/>
    <w:rsid w:val="00C72E68"/>
    <w:rsid w:val="00CE6062"/>
    <w:rsid w:val="00D01008"/>
    <w:rsid w:val="00D63850"/>
    <w:rsid w:val="00DA32A3"/>
    <w:rsid w:val="00EB0FAA"/>
    <w:rsid w:val="00EC0E2F"/>
    <w:rsid w:val="00EE788B"/>
    <w:rsid w:val="00F420E2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069"/>
  </w:style>
  <w:style w:type="paragraph" w:styleId="Pidipagina">
    <w:name w:val="footer"/>
    <w:basedOn w:val="Normale"/>
    <w:link w:val="PidipaginaCarattere"/>
    <w:uiPriority w:val="99"/>
    <w:unhideWhenUsed/>
    <w:rsid w:val="00F6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069"/>
  </w:style>
  <w:style w:type="paragraph" w:styleId="Pidipagina">
    <w:name w:val="footer"/>
    <w:basedOn w:val="Normale"/>
    <w:link w:val="PidipaginaCarattere"/>
    <w:uiPriority w:val="99"/>
    <w:unhideWhenUsed/>
    <w:rsid w:val="00F6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C8BF-0DFF-4FD0-93B7-4C97A03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deputato</cp:lastModifiedBy>
  <cp:revision>2</cp:revision>
  <dcterms:created xsi:type="dcterms:W3CDTF">2017-10-04T13:33:00Z</dcterms:created>
  <dcterms:modified xsi:type="dcterms:W3CDTF">2017-10-04T13:33:00Z</dcterms:modified>
</cp:coreProperties>
</file>